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585E" w14:textId="77777777" w:rsidR="00D25DA2" w:rsidRDefault="00A01DB3" w:rsidP="0066480D">
      <w:pPr>
        <w:spacing w:after="80"/>
        <w:jc w:val="both"/>
      </w:pPr>
      <w:r>
        <w:rPr>
          <w:b/>
          <w:bCs/>
          <w:caps/>
          <w:color w:val="6E6E6E"/>
          <w:spacing w:val="40"/>
          <w:sz w:val="16"/>
          <w:szCs w:val="16"/>
        </w:rPr>
        <w:t>Comunicato stampa</w:t>
      </w:r>
    </w:p>
    <w:p w14:paraId="6971CCDC" w14:textId="2CE19D8C" w:rsidR="00D25DA2" w:rsidRDefault="00A01DB3" w:rsidP="0066480D">
      <w:pPr>
        <w:spacing w:after="60" w:line="248" w:lineRule="auto"/>
        <w:jc w:val="both"/>
      </w:pPr>
      <w:r>
        <w:rPr>
          <w:rFonts w:ascii="Calibri Light" w:eastAsia="Calibri Light" w:hAnsi="Calibri Light" w:cs="Calibri Light"/>
          <w:color w:val="262626"/>
          <w:sz w:val="46"/>
          <w:szCs w:val="46"/>
        </w:rPr>
        <w:t>Grafica Veneta accelera nell</w:t>
      </w:r>
      <w:r w:rsidR="007C1A9E">
        <w:rPr>
          <w:rFonts w:ascii="Calibri Light" w:eastAsia="Calibri Light" w:hAnsi="Calibri Light" w:cs="Calibri Light"/>
          <w:color w:val="262626"/>
          <w:sz w:val="46"/>
          <w:szCs w:val="46"/>
        </w:rPr>
        <w:t xml:space="preserve">e </w:t>
      </w:r>
      <w:r>
        <w:rPr>
          <w:rFonts w:ascii="Calibri Light" w:eastAsia="Calibri Light" w:hAnsi="Calibri Light" w:cs="Calibri Light"/>
          <w:color w:val="262626"/>
          <w:sz w:val="46"/>
          <w:szCs w:val="46"/>
        </w:rPr>
        <w:t>energi</w:t>
      </w:r>
      <w:r w:rsidR="00D961CA">
        <w:rPr>
          <w:rFonts w:ascii="Calibri Light" w:eastAsia="Calibri Light" w:hAnsi="Calibri Light" w:cs="Calibri Light"/>
          <w:color w:val="262626"/>
          <w:sz w:val="46"/>
          <w:szCs w:val="46"/>
        </w:rPr>
        <w:t>e rinnovabili</w:t>
      </w:r>
    </w:p>
    <w:p w14:paraId="4DCD1566" w14:textId="2FC6AA8E" w:rsidR="00D25DA2" w:rsidRDefault="00A01DB3" w:rsidP="0066480D">
      <w:pPr>
        <w:spacing w:after="40" w:line="268" w:lineRule="auto"/>
        <w:jc w:val="both"/>
      </w:pPr>
      <w:r>
        <w:rPr>
          <w:i/>
          <w:iCs/>
          <w:color w:val="2F6B4F"/>
          <w:sz w:val="24"/>
          <w:szCs w:val="24"/>
        </w:rPr>
        <w:t xml:space="preserve">Con GV Energy il Gruppo SoFiGraf passa da </w:t>
      </w:r>
      <w:r w:rsidR="00413632">
        <w:rPr>
          <w:i/>
          <w:iCs/>
          <w:color w:val="2F6B4F"/>
          <w:sz w:val="24"/>
          <w:szCs w:val="24"/>
        </w:rPr>
        <w:t xml:space="preserve">18 </w:t>
      </w:r>
      <w:r>
        <w:rPr>
          <w:i/>
          <w:iCs/>
          <w:color w:val="2F6B4F"/>
          <w:sz w:val="24"/>
          <w:szCs w:val="24"/>
        </w:rPr>
        <w:t xml:space="preserve">a </w:t>
      </w:r>
      <w:r w:rsidR="00D961CA">
        <w:rPr>
          <w:i/>
          <w:iCs/>
          <w:color w:val="2F6B4F"/>
          <w:sz w:val="24"/>
          <w:szCs w:val="24"/>
        </w:rPr>
        <w:t>circa 110</w:t>
      </w:r>
      <w:r>
        <w:rPr>
          <w:i/>
          <w:iCs/>
          <w:color w:val="2F6B4F"/>
          <w:sz w:val="24"/>
          <w:szCs w:val="24"/>
        </w:rPr>
        <w:t xml:space="preserve"> MW e punta a superare i 200 MW entro il 2028.</w:t>
      </w:r>
    </w:p>
    <w:p w14:paraId="0E51C25F" w14:textId="77777777" w:rsidR="00D25DA2" w:rsidRDefault="00D25DA2" w:rsidP="0066480D">
      <w:pPr>
        <w:spacing w:after="150"/>
        <w:jc w:val="both"/>
      </w:pPr>
    </w:p>
    <w:p w14:paraId="719A7E24" w14:textId="0AEE33D3" w:rsidR="00D25DA2" w:rsidRDefault="00A01DB3" w:rsidP="0066480D">
      <w:pPr>
        <w:spacing w:after="150" w:line="264" w:lineRule="auto"/>
        <w:jc w:val="both"/>
      </w:pPr>
      <w:r>
        <w:rPr>
          <w:b/>
          <w:bCs/>
          <w:color w:val="1F5C40"/>
        </w:rPr>
        <w:t>Padova,</w:t>
      </w:r>
      <w:r w:rsidR="00D6446E">
        <w:rPr>
          <w:b/>
          <w:bCs/>
          <w:color w:val="1F5C40"/>
        </w:rPr>
        <w:t xml:space="preserve"> </w:t>
      </w:r>
      <w:r>
        <w:rPr>
          <w:b/>
          <w:bCs/>
          <w:color w:val="1F5C40"/>
        </w:rPr>
        <w:t>2026</w:t>
      </w:r>
      <w:r>
        <w:t xml:space="preserve"> — </w:t>
      </w:r>
      <w:r w:rsidR="005708EF">
        <w:t xml:space="preserve">Il Gruppo SoFiGraf, che controlla </w:t>
      </w:r>
      <w:r>
        <w:t>Grafica Veneta</w:t>
      </w:r>
      <w:r w:rsidR="005708EF">
        <w:t>,</w:t>
      </w:r>
      <w:r>
        <w:t xml:space="preserve"> rafforza la propria presenza nelle energie rinnovabili e struttura il percorso di crescita con GV Energy, piattaforma dedicata allo sviluppo, acquisizione, costruzione e gestione di impianti fotovoltaici.</w:t>
      </w:r>
    </w:p>
    <w:p w14:paraId="4EE61DCB" w14:textId="05A0F033" w:rsidR="00D25DA2" w:rsidRDefault="00A01DB3" w:rsidP="0066480D">
      <w:pPr>
        <w:spacing w:after="150" w:line="264" w:lineRule="auto"/>
        <w:jc w:val="both"/>
      </w:pPr>
      <w:r>
        <w:t>L’operazione più rilevante è l</w:t>
      </w:r>
      <w:r w:rsidR="00D249E4">
        <w:t xml:space="preserve">a recente </w:t>
      </w:r>
      <w:r>
        <w:t>acquisizione di Helios 55, progetto agrivoltaico da 55 MW nel Comune di Foggia, con investimento complessivo previsto di 50 milioni di euro e avvio atteso nel secondo semestre 2027.</w:t>
      </w:r>
    </w:p>
    <w:p w14:paraId="6D11D22E" w14:textId="77777777" w:rsidR="00D25DA2" w:rsidRDefault="00A01DB3" w:rsidP="0066480D">
      <w:pPr>
        <w:pBdr>
          <w:left w:val="single" w:sz="18" w:space="14" w:color="2F6B4F"/>
        </w:pBdr>
        <w:spacing w:after="110" w:line="268" w:lineRule="auto"/>
        <w:ind w:left="360"/>
        <w:jc w:val="both"/>
      </w:pPr>
      <w:r>
        <w:rPr>
          <w:i/>
          <w:iCs/>
          <w:color w:val="353535"/>
        </w:rPr>
        <w:t>Quando siamo partiti, il Gruppo disponeva già di asset energetici importanti, ma ancora non esprimeva tutto il proprio potenziale industriale. In poco tempo abbiamo dato una struttura, una direzione e una scala a questo percorso. Oggi GV Energy nasce con l’ambizione di diventare una piattaforma autonoma, solida e capace di crescere rapidamente.</w:t>
      </w:r>
    </w:p>
    <w:p w14:paraId="5FB91BF4" w14:textId="7F4E19AE" w:rsidR="00D25DA2" w:rsidRDefault="00A01DB3" w:rsidP="0066480D">
      <w:pPr>
        <w:pBdr>
          <w:left w:val="single" w:sz="18" w:space="14" w:color="2F6B4F"/>
        </w:pBdr>
        <w:spacing w:after="110" w:line="268" w:lineRule="auto"/>
        <w:ind w:left="360"/>
        <w:jc w:val="both"/>
      </w:pPr>
      <w:r>
        <w:rPr>
          <w:i/>
          <w:iCs/>
          <w:color w:val="353535"/>
        </w:rPr>
        <w:t xml:space="preserve">Non entriamo nell’energia da investitori finanziari, ma da industriali. Dal 2009 produciamo energia rinnovabile nei nostri stabilimenti e abbiamo imparato che l’energia è un asset strategico. Con GV Energy vogliamo portare nel settore la stessa </w:t>
      </w:r>
      <w:r w:rsidR="00D249E4">
        <w:rPr>
          <w:i/>
          <w:iCs/>
          <w:color w:val="353535"/>
        </w:rPr>
        <w:t xml:space="preserve">visione di lungo periodo, la stessa </w:t>
      </w:r>
      <w:r>
        <w:rPr>
          <w:i/>
          <w:iCs/>
          <w:color w:val="353535"/>
        </w:rPr>
        <w:t xml:space="preserve">disciplina </w:t>
      </w:r>
      <w:r w:rsidR="00D249E4">
        <w:rPr>
          <w:i/>
          <w:iCs/>
          <w:color w:val="353535"/>
        </w:rPr>
        <w:t>finanziaria</w:t>
      </w:r>
      <w:r>
        <w:rPr>
          <w:i/>
          <w:iCs/>
          <w:color w:val="353535"/>
        </w:rPr>
        <w:t>, e la stessa capacità di esecuzione che hanno caratterizzato la crescita industriale del Gruppo.</w:t>
      </w:r>
    </w:p>
    <w:p w14:paraId="5B725966" w14:textId="77777777" w:rsidR="00D25DA2" w:rsidRDefault="00A01DB3" w:rsidP="0066480D">
      <w:pPr>
        <w:pBdr>
          <w:left w:val="single" w:sz="18" w:space="14" w:color="2F6B4F"/>
        </w:pBdr>
        <w:spacing w:before="20" w:after="170"/>
        <w:ind w:left="360"/>
        <w:jc w:val="both"/>
      </w:pPr>
      <w:r>
        <w:rPr>
          <w:b/>
          <w:bCs/>
          <w:color w:val="262626"/>
          <w:sz w:val="19"/>
          <w:szCs w:val="19"/>
        </w:rPr>
        <w:t>Gianmarco Franceschi</w:t>
      </w:r>
      <w:r>
        <w:rPr>
          <w:color w:val="5C5C5C"/>
          <w:sz w:val="19"/>
          <w:szCs w:val="19"/>
        </w:rPr>
        <w:t xml:space="preserve">  —  Consigliere Delegato del Gruppo SoFiGraf</w:t>
      </w:r>
    </w:p>
    <w:p w14:paraId="4CDC7E43" w14:textId="4681BFCB" w:rsidR="00D25DA2" w:rsidRDefault="00A01DB3" w:rsidP="0066480D">
      <w:pPr>
        <w:spacing w:after="150" w:line="264" w:lineRule="auto"/>
        <w:jc w:val="both"/>
      </w:pPr>
      <w:r>
        <w:t xml:space="preserve">Il progetto segna un cambio di passo netto. </w:t>
      </w:r>
      <w:r w:rsidR="00D249E4">
        <w:t xml:space="preserve">A </w:t>
      </w:r>
      <w:r w:rsidR="005708EF">
        <w:t>inizio</w:t>
      </w:r>
      <w:r w:rsidR="00D249E4">
        <w:t xml:space="preserve"> </w:t>
      </w:r>
      <w:r w:rsidR="00782B96">
        <w:t>2024</w:t>
      </w:r>
      <w:r>
        <w:t>, con l’ingresso di Gianmarco Franceschi in SoFiGraf con responsabilità diretta sullo sviluppo energetico, il Gruppo</w:t>
      </w:r>
      <w:r w:rsidR="00D249E4">
        <w:t xml:space="preserve"> aveva</w:t>
      </w:r>
      <w:r>
        <w:t xml:space="preserve"> una </w:t>
      </w:r>
      <w:r w:rsidR="00CF2F78">
        <w:t>capacità in esercizio d</w:t>
      </w:r>
      <w:r>
        <w:t xml:space="preserve">i circa </w:t>
      </w:r>
      <w:r w:rsidR="00782B96">
        <w:t xml:space="preserve">18 </w:t>
      </w:r>
      <w:r>
        <w:t>MW e</w:t>
      </w:r>
      <w:r w:rsidR="00CF2F78">
        <w:t xml:space="preserve">d è stata incrementata a fine 2025 </w:t>
      </w:r>
      <w:r>
        <w:t xml:space="preserve">in un portafoglio di circa 60 MW tra impianti operativi, acquisiti e in sviluppo avanzato. </w:t>
      </w:r>
      <w:r w:rsidR="00CF2F78">
        <w:t>Con l’acquisizione di Helios 55 si realizza u</w:t>
      </w:r>
      <w:r>
        <w:t>n’</w:t>
      </w:r>
      <w:r w:rsidR="005708EF">
        <w:t xml:space="preserve">ulteriore </w:t>
      </w:r>
      <w:r>
        <w:t xml:space="preserve">accelerazione </w:t>
      </w:r>
      <w:r w:rsidR="00CF2F78">
        <w:t xml:space="preserve">a </w:t>
      </w:r>
      <w:r w:rsidR="005708EF">
        <w:t>circa</w:t>
      </w:r>
      <w:r w:rsidR="00CF2F78">
        <w:t xml:space="preserve"> 110 MW di capacità, </w:t>
      </w:r>
      <w:r>
        <w:t>che conferma la volontà di costruire una vera piattaforma industriale nell’energia, non una semplice diversificazione finanziaria.</w:t>
      </w:r>
    </w:p>
    <w:p w14:paraId="41E4B2DF" w14:textId="75AECA15" w:rsidR="00D25DA2" w:rsidRDefault="00A01DB3" w:rsidP="0066480D">
      <w:pPr>
        <w:spacing w:after="150" w:line="264" w:lineRule="auto"/>
        <w:jc w:val="both"/>
      </w:pPr>
      <w:r>
        <w:t>Nel piano industriale 2026-2028, GV Energy punta a superare 200 MW di capacità installata. Alla luce della crescita già realizzata, il Gruppo ritiene questo obiettivo prudente e guarda con fiducia alla possibilità di andare oltre il target previsto. A regime, il settore Energy potrà contribuire fino al 40% dell’EBITDA consolidato del Gruppo SoFiGraf</w:t>
      </w:r>
      <w:r w:rsidR="00D961CA">
        <w:t>, rispetto all’attuale contribuzione del 10%.</w:t>
      </w:r>
    </w:p>
    <w:p w14:paraId="7DAEE961" w14:textId="339537DE" w:rsidR="00D25DA2" w:rsidRDefault="00A01DB3" w:rsidP="0066480D">
      <w:pPr>
        <w:spacing w:after="150" w:line="264" w:lineRule="auto"/>
        <w:jc w:val="both"/>
      </w:pPr>
      <w:r>
        <w:t xml:space="preserve">L’operazione nasce dentro un contesto di forte solidità industriale e finanziaria: </w:t>
      </w:r>
      <w:r w:rsidR="00CF2F78">
        <w:t xml:space="preserve">a fine maggio 2026 </w:t>
      </w:r>
      <w:r>
        <w:t>CRIF Ratings ha rinnovato a SoFiGraf</w:t>
      </w:r>
      <w:r w:rsidR="00D95A24">
        <w:t>/Grafica Veneta</w:t>
      </w:r>
      <w:r>
        <w:t xml:space="preserve"> il rating “A” con Outlook Stabile, riconoscendo la robustezza del profilo economico-patrimoniale del Gruppo</w:t>
      </w:r>
      <w:r w:rsidR="003565FD">
        <w:t>, che ha visto nel 2025 un EBITDA margin superiore al 25%</w:t>
      </w:r>
      <w:r>
        <w:t>.</w:t>
      </w:r>
    </w:p>
    <w:p w14:paraId="3A3C1C4F" w14:textId="77777777" w:rsidR="00D25DA2" w:rsidRDefault="00A01DB3" w:rsidP="0066480D">
      <w:pPr>
        <w:keepNext/>
        <w:pBdr>
          <w:bottom w:val="single" w:sz="4" w:space="4" w:color="DCE3DD"/>
        </w:pBdr>
        <w:spacing w:before="280" w:after="110" w:line="252" w:lineRule="auto"/>
        <w:jc w:val="both"/>
      </w:pPr>
      <w:r>
        <w:rPr>
          <w:b/>
          <w:bCs/>
          <w:color w:val="1F5C40"/>
          <w:sz w:val="26"/>
          <w:szCs w:val="26"/>
        </w:rPr>
        <w:t>Helios 55: energia e agricoltura nello stesso progetto</w:t>
      </w:r>
    </w:p>
    <w:p w14:paraId="2F16D619" w14:textId="02000FAA" w:rsidR="00D25DA2" w:rsidRDefault="00CF2F78" w:rsidP="0066480D">
      <w:pPr>
        <w:spacing w:after="150" w:line="264" w:lineRule="auto"/>
        <w:jc w:val="both"/>
      </w:pPr>
      <w:r>
        <w:t xml:space="preserve">Il progetto </w:t>
      </w:r>
      <w:r w:rsidR="00A01DB3">
        <w:t xml:space="preserve">Helios 55 si sviluppa su </w:t>
      </w:r>
      <w:r>
        <w:t xml:space="preserve">un’estensione di </w:t>
      </w:r>
      <w:r w:rsidR="00A01DB3">
        <w:t>circa 135 ettari nel Comune di Foggia. L’area tecnica dell’impianto occupa 65 ettari, di cui solo 25 ettari destinati ai moduli fotovoltaici. La restante superficie sarà mantenuta ad uso agricolo, con coltivazioni di erba medica tra le strutture a inseguimento solare.</w:t>
      </w:r>
    </w:p>
    <w:p w14:paraId="1A2036EE" w14:textId="77777777" w:rsidR="00D25DA2" w:rsidRDefault="00A01DB3" w:rsidP="0066480D">
      <w:pPr>
        <w:spacing w:after="150" w:line="264" w:lineRule="auto"/>
        <w:jc w:val="both"/>
      </w:pPr>
      <w:r>
        <w:t>Il progetto prevede inoltre 25 ettari di corridoio ecologico e 45 ettari di aree esterne dedicate a ulivi, arbusti mediterranei e ulteriori coltivazioni. L’obiettivo è integrare produzione energetica, continuità agricola e tutela del paesaggio.</w:t>
      </w:r>
    </w:p>
    <w:p w14:paraId="60E804A0" w14:textId="77777777" w:rsidR="00D25DA2" w:rsidRDefault="00A01DB3" w:rsidP="0066480D">
      <w:pPr>
        <w:keepNext/>
        <w:pBdr>
          <w:bottom w:val="single" w:sz="4" w:space="4" w:color="DCE3DD"/>
        </w:pBdr>
        <w:spacing w:before="280" w:after="110" w:line="252" w:lineRule="auto"/>
        <w:jc w:val="both"/>
      </w:pPr>
      <w:r>
        <w:rPr>
          <w:b/>
          <w:bCs/>
          <w:color w:val="1F5C40"/>
          <w:sz w:val="26"/>
          <w:szCs w:val="26"/>
        </w:rPr>
        <w:lastRenderedPageBreak/>
        <w:t>Una crescita già visibile</w:t>
      </w:r>
    </w:p>
    <w:p w14:paraId="400668DC" w14:textId="07C8E8FB" w:rsidR="00D25DA2" w:rsidRDefault="00A01DB3" w:rsidP="0066480D">
      <w:pPr>
        <w:spacing w:after="150" w:line="264" w:lineRule="auto"/>
        <w:jc w:val="both"/>
      </w:pPr>
      <w:r>
        <w:t>GV Energy nasce dall’evoluzione di SG Ambient</w:t>
      </w:r>
      <w:r w:rsidR="003565FD">
        <w:t xml:space="preserve">, società acquisita nel 2013 per </w:t>
      </w:r>
      <w:r w:rsidR="003565FD" w:rsidRPr="003565FD">
        <w:t>un’iniziativa particolarmente di successo</w:t>
      </w:r>
      <w:r w:rsidR="003565FD">
        <w:t xml:space="preserve"> a</w:t>
      </w:r>
      <w:r w:rsidR="003565FD" w:rsidRPr="003565FD">
        <w:t xml:space="preserve"> Spilimbergo (PN)</w:t>
      </w:r>
      <w:r w:rsidR="003565FD">
        <w:t xml:space="preserve">. Grazie a questo progetto fu </w:t>
      </w:r>
      <w:r w:rsidR="00B5201C">
        <w:t>demolita</w:t>
      </w:r>
      <w:r w:rsidR="003565FD" w:rsidRPr="003565FD">
        <w:t xml:space="preserve"> una caserma abbandonata e </w:t>
      </w:r>
      <w:r w:rsidR="00B5201C">
        <w:t>l’area venne riqualificata</w:t>
      </w:r>
      <w:r w:rsidR="003565FD" w:rsidRPr="003565FD">
        <w:t xml:space="preserve"> con un impianto </w:t>
      </w:r>
      <w:r w:rsidR="00B5201C">
        <w:t xml:space="preserve">fotovoltaico </w:t>
      </w:r>
      <w:r w:rsidR="003565FD" w:rsidRPr="003565FD">
        <w:t>a terra da 10 MW, soddisfacendo i bisogni energetici di circa 5.000 abitazioni</w:t>
      </w:r>
      <w:r>
        <w:t>.</w:t>
      </w:r>
    </w:p>
    <w:p w14:paraId="50F187A1" w14:textId="7C22FBAA" w:rsidR="00D25DA2" w:rsidRDefault="00B5201C" w:rsidP="0066480D">
      <w:pPr>
        <w:spacing w:after="150" w:line="264" w:lineRule="auto"/>
        <w:jc w:val="both"/>
      </w:pPr>
      <w:r>
        <w:t xml:space="preserve">Nel corso del </w:t>
      </w:r>
      <w:r w:rsidR="00782B96">
        <w:t>biennio 2024-2025</w:t>
      </w:r>
      <w:r>
        <w:t>,</w:t>
      </w:r>
      <w:r w:rsidR="00A01DB3">
        <w:t xml:space="preserve"> il portafoglio</w:t>
      </w:r>
      <w:r>
        <w:t xml:space="preserve"> di GV Energy</w:t>
      </w:r>
      <w:r w:rsidR="00A01DB3">
        <w:t xml:space="preserve"> </w:t>
      </w:r>
      <w:r w:rsidR="00782B96">
        <w:t xml:space="preserve">è incrementato grazie alla realizzazione </w:t>
      </w:r>
      <w:r w:rsidR="00C45570">
        <w:t>di un</w:t>
      </w:r>
      <w:r w:rsidR="00A01DB3">
        <w:t xml:space="preserve"> impianto fotovoltaico</w:t>
      </w:r>
      <w:r w:rsidR="00782B96">
        <w:t xml:space="preserve"> di circa 4 MW in provincia di Verona e di un impianto </w:t>
      </w:r>
      <w:r w:rsidR="00A01DB3">
        <w:t>da 9,2 MW in provincia di Bologna,</w:t>
      </w:r>
      <w:r w:rsidR="00782B96">
        <w:t xml:space="preserve"> nonché di</w:t>
      </w:r>
      <w:r w:rsidR="00A01DB3">
        <w:t xml:space="preserve"> un progetto </w:t>
      </w:r>
      <w:r>
        <w:t>in</w:t>
      </w:r>
      <w:r w:rsidR="00782B96">
        <w:t xml:space="preserve"> fase di</w:t>
      </w:r>
      <w:r>
        <w:t xml:space="preserve"> costruzione</w:t>
      </w:r>
      <w:r w:rsidR="00A01DB3">
        <w:t xml:space="preserve"> da 9,1 MW in provincia di Udine e un ulteriore impianto da 20 MW in provincia di Treviso in fase autorizzativa avanzata.</w:t>
      </w:r>
    </w:p>
    <w:p w14:paraId="5CECFECF" w14:textId="77777777" w:rsidR="00D25DA2" w:rsidRDefault="00A01DB3" w:rsidP="0066480D">
      <w:pPr>
        <w:spacing w:after="150" w:line="264" w:lineRule="auto"/>
        <w:jc w:val="both"/>
      </w:pPr>
      <w:r>
        <w:t>La strategia prevede la vendita dell’energia sul mercato libero, senza ricorso a nuovi incentivi statali, con possibile apertura futura a contratti PPA con grandi consumatori industriali.</w:t>
      </w:r>
    </w:p>
    <w:p w14:paraId="0AF82471" w14:textId="651DA703" w:rsidR="00D25DA2" w:rsidRDefault="00A01DB3" w:rsidP="0066480D">
      <w:pPr>
        <w:spacing w:after="240" w:line="264" w:lineRule="auto"/>
        <w:jc w:val="both"/>
      </w:pPr>
      <w:r>
        <w:t>L’obiettivo è trasformare l’esperienza maturata dal Gruppo nelle rinnovabili in una piattaforma energetica autonoma, industriale e competitiva, capace di diventare uno dei nuovi motori di crescita di SoFiGraf.</w:t>
      </w:r>
    </w:p>
    <w:tbl>
      <w:tblPr>
        <w:tblStyle w:val="Tabellasemplice-1"/>
        <w:tblW w:w="9638" w:type="dxa"/>
        <w:tblLook w:val="0000" w:firstRow="0" w:lastRow="0" w:firstColumn="0" w:lastColumn="0" w:noHBand="0" w:noVBand="0"/>
      </w:tblPr>
      <w:tblGrid>
        <w:gridCol w:w="9638"/>
      </w:tblGrid>
      <w:tr w:rsidR="00D25DA2" w14:paraId="4ED1433F" w14:textId="77777777" w:rsidTr="006648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8" w:type="dxa"/>
          </w:tcPr>
          <w:p w14:paraId="6C9AC356" w14:textId="5CD86472" w:rsidR="00D25DA2" w:rsidRPr="0066480D" w:rsidRDefault="00A01DB3" w:rsidP="0066480D">
            <w:pPr>
              <w:spacing w:after="50"/>
              <w:jc w:val="both"/>
              <w:rPr>
                <w:color w:val="auto"/>
              </w:rPr>
            </w:pPr>
            <w:r w:rsidRPr="0066480D">
              <w:rPr>
                <w:b/>
                <w:bCs/>
                <w:color w:val="auto"/>
              </w:rPr>
              <w:t>GV Energy</w:t>
            </w:r>
            <w:r w:rsidR="00C45570" w:rsidRPr="0066480D">
              <w:rPr>
                <w:b/>
                <w:bCs/>
                <w:color w:val="auto"/>
              </w:rPr>
              <w:t xml:space="preserve"> S.r.l.</w:t>
            </w:r>
          </w:p>
          <w:p w14:paraId="0844B49B" w14:textId="77777777" w:rsidR="00D25DA2" w:rsidRDefault="00A01DB3" w:rsidP="0066480D">
            <w:pPr>
              <w:spacing w:line="250" w:lineRule="auto"/>
              <w:jc w:val="both"/>
            </w:pPr>
            <w:r>
              <w:rPr>
                <w:color w:val="4F4F4F"/>
                <w:sz w:val="18"/>
                <w:szCs w:val="18"/>
              </w:rPr>
              <w:t>GV Energy è la piattaforma del Gruppo SoFiGraf dedicata alle energie rinnovabili. Opera nel fotovoltaico con un modello integrato che presidia sviluppo, acquisizione, costruzione e gestione degli impianti. Nata dall’esperienza avviata nel 2009 da Grafica Veneta nel campo della produzione solare, GV Energy punta a costruire un portafoglio superiore a 200 MW entro il 2028, contribuendo alla diversificazione industriale e alla crescita del Gruppo.</w:t>
            </w:r>
          </w:p>
        </w:tc>
      </w:tr>
    </w:tbl>
    <w:p w14:paraId="4D0DB6C8" w14:textId="77777777" w:rsidR="00D25DA2" w:rsidRDefault="00D25DA2" w:rsidP="0066480D">
      <w:pPr>
        <w:spacing w:after="120"/>
        <w:jc w:val="both"/>
      </w:pPr>
    </w:p>
    <w:p w14:paraId="2229E9E7" w14:textId="77777777" w:rsidR="00D25DA2" w:rsidRDefault="00D25DA2" w:rsidP="0066480D">
      <w:pPr>
        <w:pBdr>
          <w:bottom w:val="single" w:sz="6" w:space="1" w:color="CBD3CD"/>
        </w:pBdr>
        <w:spacing w:before="40" w:after="120"/>
        <w:jc w:val="both"/>
      </w:pPr>
    </w:p>
    <w:p w14:paraId="3CFF1531" w14:textId="77777777" w:rsidR="00D25DA2" w:rsidRDefault="00A01DB3" w:rsidP="0066480D">
      <w:pPr>
        <w:spacing w:before="20" w:after="90"/>
        <w:jc w:val="both"/>
      </w:pPr>
      <w:r>
        <w:rPr>
          <w:b/>
          <w:bCs/>
          <w:caps/>
          <w:color w:val="6E6E6E"/>
          <w:spacing w:val="40"/>
          <w:sz w:val="15"/>
          <w:szCs w:val="15"/>
        </w:rPr>
        <w:t>Contatti stampa</w:t>
      </w:r>
    </w:p>
    <w:p w14:paraId="20DCBD36" w14:textId="77777777" w:rsidR="00D25DA2" w:rsidRDefault="00A01DB3" w:rsidP="0066480D">
      <w:pPr>
        <w:spacing w:after="110"/>
        <w:jc w:val="both"/>
      </w:pPr>
      <w:r>
        <w:rPr>
          <w:b/>
          <w:bCs/>
          <w:color w:val="262626"/>
          <w:sz w:val="22"/>
          <w:szCs w:val="22"/>
        </w:rPr>
        <w:t>Blum.</w:t>
      </w:r>
      <w:r>
        <w:rPr>
          <w:i/>
          <w:iCs/>
          <w:color w:val="5C5C5C"/>
          <w:sz w:val="18"/>
          <w:szCs w:val="18"/>
        </w:rPr>
        <w:t xml:space="preserve">  Business as a medium</w:t>
      </w:r>
    </w:p>
    <w:tbl>
      <w:tblPr>
        <w:tblW w:w="963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19"/>
        <w:gridCol w:w="4819"/>
      </w:tblGrid>
      <w:tr w:rsidR="00D25DA2" w14:paraId="61B4A797" w14:textId="77777777">
        <w:tc>
          <w:tcPr>
            <w:tcW w:w="4819" w:type="dxa"/>
            <w:tcBorders>
              <w:top w:val="none" w:sz="0" w:space="0" w:color="FFFFFF"/>
              <w:left w:val="none" w:sz="0" w:space="0" w:color="FFFFFF"/>
              <w:bottom w:val="none" w:sz="0" w:space="0" w:color="FFFFFF"/>
              <w:right w:val="none" w:sz="0" w:space="0" w:color="FFFFFF"/>
            </w:tcBorders>
            <w:tcMar>
              <w:top w:w="20" w:type="dxa"/>
              <w:left w:w="0" w:type="dxa"/>
              <w:bottom w:w="20" w:type="dxa"/>
              <w:right w:w="120" w:type="dxa"/>
            </w:tcMar>
          </w:tcPr>
          <w:p w14:paraId="4F53943D" w14:textId="77777777" w:rsidR="00D25DA2" w:rsidRDefault="00A01DB3" w:rsidP="0066480D">
            <w:pPr>
              <w:spacing w:after="20" w:line="232" w:lineRule="auto"/>
              <w:jc w:val="both"/>
            </w:pPr>
            <w:r>
              <w:rPr>
                <w:b/>
                <w:bCs/>
                <w:color w:val="262626"/>
                <w:sz w:val="19"/>
                <w:szCs w:val="19"/>
              </w:rPr>
              <w:t>Valeria Costa</w:t>
            </w:r>
          </w:p>
          <w:p w14:paraId="546AB6E9" w14:textId="77777777" w:rsidR="00D25DA2" w:rsidRDefault="00A01DB3" w:rsidP="0066480D">
            <w:pPr>
              <w:spacing w:line="232" w:lineRule="auto"/>
              <w:jc w:val="both"/>
            </w:pPr>
            <w:r>
              <w:rPr>
                <w:color w:val="5C5C5C"/>
                <w:sz w:val="18"/>
                <w:szCs w:val="18"/>
              </w:rPr>
              <w:t>valeria.costa@blum.vision  ·  347 5755352</w:t>
            </w:r>
          </w:p>
        </w:tc>
        <w:tc>
          <w:tcPr>
            <w:tcW w:w="4819" w:type="dxa"/>
            <w:tcBorders>
              <w:top w:val="none" w:sz="0" w:space="0" w:color="FFFFFF"/>
              <w:left w:val="none" w:sz="0" w:space="0" w:color="FFFFFF"/>
              <w:bottom w:val="none" w:sz="0" w:space="0" w:color="FFFFFF"/>
              <w:right w:val="none" w:sz="0" w:space="0" w:color="FFFFFF"/>
            </w:tcBorders>
            <w:tcMar>
              <w:top w:w="20" w:type="dxa"/>
              <w:left w:w="0" w:type="dxa"/>
              <w:bottom w:w="20" w:type="dxa"/>
              <w:right w:w="120" w:type="dxa"/>
            </w:tcMar>
          </w:tcPr>
          <w:p w14:paraId="1CF7DED1" w14:textId="77777777" w:rsidR="00D25DA2" w:rsidRDefault="00A01DB3" w:rsidP="0066480D">
            <w:pPr>
              <w:spacing w:after="20" w:line="232" w:lineRule="auto"/>
              <w:jc w:val="both"/>
            </w:pPr>
            <w:r>
              <w:rPr>
                <w:b/>
                <w:bCs/>
                <w:color w:val="262626"/>
                <w:sz w:val="19"/>
                <w:szCs w:val="19"/>
              </w:rPr>
              <w:t>Alberto Lolliri</w:t>
            </w:r>
          </w:p>
          <w:p w14:paraId="6C2BA70E" w14:textId="77777777" w:rsidR="00D25DA2" w:rsidRDefault="00A01DB3" w:rsidP="0066480D">
            <w:pPr>
              <w:spacing w:line="232" w:lineRule="auto"/>
              <w:jc w:val="both"/>
            </w:pPr>
            <w:r>
              <w:rPr>
                <w:color w:val="5C5C5C"/>
                <w:sz w:val="18"/>
                <w:szCs w:val="18"/>
              </w:rPr>
              <w:t>alberto.lolliri@blum.vision  ·  340 4992197</w:t>
            </w:r>
          </w:p>
        </w:tc>
      </w:tr>
    </w:tbl>
    <w:p w14:paraId="6A8E2E16" w14:textId="77777777" w:rsidR="00A01DB3" w:rsidRDefault="00A01DB3" w:rsidP="0066480D">
      <w:pPr>
        <w:jc w:val="both"/>
      </w:pPr>
    </w:p>
    <w:sectPr w:rsidR="00A01DB3">
      <w:headerReference w:type="default" r:id="rId8"/>
      <w:footerReference w:type="even" r:id="rId9"/>
      <w:footerReference w:type="default" r:id="rId10"/>
      <w:pgSz w:w="11906" w:h="16838"/>
      <w:pgMar w:top="2070"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0A75" w14:textId="77777777" w:rsidR="00180C0A" w:rsidRDefault="00180C0A">
      <w:r>
        <w:separator/>
      </w:r>
    </w:p>
  </w:endnote>
  <w:endnote w:type="continuationSeparator" w:id="0">
    <w:p w14:paraId="22A83FC9" w14:textId="77777777" w:rsidR="00180C0A" w:rsidRDefault="0018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3802532"/>
      <w:docPartObj>
        <w:docPartGallery w:val="Page Numbers (Bottom of Page)"/>
        <w:docPartUnique/>
      </w:docPartObj>
    </w:sdtPr>
    <w:sdtEndPr>
      <w:rPr>
        <w:rStyle w:val="Numeropagina"/>
      </w:rPr>
    </w:sdtEndPr>
    <w:sdtContent>
      <w:p w14:paraId="5084570B" w14:textId="6AF87AB7" w:rsidR="00C45570" w:rsidRDefault="00C45570" w:rsidP="009654C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sidR="00180C0A">
          <w:rPr>
            <w:rStyle w:val="Numeropagina"/>
          </w:rPr>
          <w:fldChar w:fldCharType="separate"/>
        </w:r>
        <w:r>
          <w:rPr>
            <w:rStyle w:val="Numeropagina"/>
          </w:rPr>
          <w:fldChar w:fldCharType="end"/>
        </w:r>
      </w:p>
    </w:sdtContent>
  </w:sdt>
  <w:p w14:paraId="1048B63F" w14:textId="77777777" w:rsidR="00C45570" w:rsidRDefault="00C45570" w:rsidP="0066480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19750380"/>
      <w:docPartObj>
        <w:docPartGallery w:val="Page Numbers (Bottom of Page)"/>
        <w:docPartUnique/>
      </w:docPartObj>
    </w:sdtPr>
    <w:sdtEndPr>
      <w:rPr>
        <w:rStyle w:val="Numeropagina"/>
      </w:rPr>
    </w:sdtEndPr>
    <w:sdtContent>
      <w:p w14:paraId="3EC45EE7" w14:textId="3E8C1065" w:rsidR="00C45570" w:rsidRDefault="00C45570" w:rsidP="009654C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86C534D" w14:textId="77777777" w:rsidR="00C45570" w:rsidRDefault="00C45570" w:rsidP="0066480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9D46" w14:textId="77777777" w:rsidR="00180C0A" w:rsidRDefault="00180C0A">
      <w:r>
        <w:separator/>
      </w:r>
    </w:p>
  </w:footnote>
  <w:footnote w:type="continuationSeparator" w:id="0">
    <w:p w14:paraId="4CCDC111" w14:textId="77777777" w:rsidR="00180C0A" w:rsidRDefault="0018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2BD4" w14:textId="77777777" w:rsidR="00D25DA2" w:rsidRDefault="00A01DB3">
    <w:r>
      <w:rPr>
        <w:noProof/>
      </w:rPr>
      <w:drawing>
        <wp:inline distT="0" distB="0" distL="0" distR="0" wp14:anchorId="1D25919A" wp14:editId="2DFA7C47">
          <wp:extent cx="2135529" cy="666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a:srcRect r="63655"/>
                  <a:stretch>
                    <a:fillRect/>
                  </a:stretch>
                </pic:blipFill>
                <pic:spPr bwMode="auto">
                  <a:xfrm>
                    <a:off x="0" y="0"/>
                    <a:ext cx="2135928" cy="6667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E43AD"/>
    <w:multiLevelType w:val="hybridMultilevel"/>
    <w:tmpl w:val="F08E37F4"/>
    <w:lvl w:ilvl="0" w:tplc="01DE11B6">
      <w:start w:val="1"/>
      <w:numFmt w:val="bullet"/>
      <w:lvlText w:val="●"/>
      <w:lvlJc w:val="left"/>
      <w:pPr>
        <w:ind w:left="720" w:hanging="360"/>
      </w:pPr>
    </w:lvl>
    <w:lvl w:ilvl="1" w:tplc="B0125918">
      <w:start w:val="1"/>
      <w:numFmt w:val="bullet"/>
      <w:lvlText w:val="○"/>
      <w:lvlJc w:val="left"/>
      <w:pPr>
        <w:ind w:left="1440" w:hanging="360"/>
      </w:pPr>
    </w:lvl>
    <w:lvl w:ilvl="2" w:tplc="4F90DD6A">
      <w:start w:val="1"/>
      <w:numFmt w:val="bullet"/>
      <w:lvlText w:val="■"/>
      <w:lvlJc w:val="left"/>
      <w:pPr>
        <w:ind w:left="2160" w:hanging="360"/>
      </w:pPr>
    </w:lvl>
    <w:lvl w:ilvl="3" w:tplc="C99631BE">
      <w:start w:val="1"/>
      <w:numFmt w:val="bullet"/>
      <w:lvlText w:val="●"/>
      <w:lvlJc w:val="left"/>
      <w:pPr>
        <w:ind w:left="2880" w:hanging="360"/>
      </w:pPr>
    </w:lvl>
    <w:lvl w:ilvl="4" w:tplc="CC9280BE">
      <w:start w:val="1"/>
      <w:numFmt w:val="bullet"/>
      <w:lvlText w:val="○"/>
      <w:lvlJc w:val="left"/>
      <w:pPr>
        <w:ind w:left="3600" w:hanging="360"/>
      </w:pPr>
    </w:lvl>
    <w:lvl w:ilvl="5" w:tplc="759408A8">
      <w:start w:val="1"/>
      <w:numFmt w:val="bullet"/>
      <w:lvlText w:val="■"/>
      <w:lvlJc w:val="left"/>
      <w:pPr>
        <w:ind w:left="4320" w:hanging="360"/>
      </w:pPr>
    </w:lvl>
    <w:lvl w:ilvl="6" w:tplc="572CBA34">
      <w:start w:val="1"/>
      <w:numFmt w:val="bullet"/>
      <w:lvlText w:val="●"/>
      <w:lvlJc w:val="left"/>
      <w:pPr>
        <w:ind w:left="5040" w:hanging="360"/>
      </w:pPr>
    </w:lvl>
    <w:lvl w:ilvl="7" w:tplc="EB888554">
      <w:start w:val="1"/>
      <w:numFmt w:val="bullet"/>
      <w:lvlText w:val="●"/>
      <w:lvlJc w:val="left"/>
      <w:pPr>
        <w:ind w:left="5760" w:hanging="360"/>
      </w:pPr>
    </w:lvl>
    <w:lvl w:ilvl="8" w:tplc="495A6E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A2"/>
    <w:rsid w:val="00180C0A"/>
    <w:rsid w:val="00333F63"/>
    <w:rsid w:val="003565FD"/>
    <w:rsid w:val="00413632"/>
    <w:rsid w:val="00427ECF"/>
    <w:rsid w:val="005708EF"/>
    <w:rsid w:val="00571BD5"/>
    <w:rsid w:val="006160F6"/>
    <w:rsid w:val="0066480D"/>
    <w:rsid w:val="00671C80"/>
    <w:rsid w:val="00782B96"/>
    <w:rsid w:val="007C1A9E"/>
    <w:rsid w:val="00A01DB3"/>
    <w:rsid w:val="00A24D83"/>
    <w:rsid w:val="00B15889"/>
    <w:rsid w:val="00B5201C"/>
    <w:rsid w:val="00C45570"/>
    <w:rsid w:val="00CF2F78"/>
    <w:rsid w:val="00D249E4"/>
    <w:rsid w:val="00D25DA2"/>
    <w:rsid w:val="00D6446E"/>
    <w:rsid w:val="00D95A24"/>
    <w:rsid w:val="00D961CA"/>
    <w:rsid w:val="00F51C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1C9F"/>
  <w15:docId w15:val="{5A0CBF03-0FB7-CA4C-967F-2BE77177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1F1F1F"/>
        <w:sz w:val="21"/>
        <w:szCs w:val="21"/>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Revisione">
    <w:name w:val="Revision"/>
    <w:hidden/>
    <w:uiPriority w:val="99"/>
    <w:semiHidden/>
    <w:rsid w:val="00D249E4"/>
  </w:style>
  <w:style w:type="paragraph" w:styleId="Intestazione">
    <w:name w:val="header"/>
    <w:basedOn w:val="Normale"/>
    <w:link w:val="IntestazioneCarattere"/>
    <w:uiPriority w:val="99"/>
    <w:unhideWhenUsed/>
    <w:rsid w:val="00C45570"/>
    <w:pPr>
      <w:tabs>
        <w:tab w:val="center" w:pos="4819"/>
        <w:tab w:val="right" w:pos="9638"/>
      </w:tabs>
    </w:pPr>
  </w:style>
  <w:style w:type="character" w:customStyle="1" w:styleId="IntestazioneCarattere">
    <w:name w:val="Intestazione Carattere"/>
    <w:basedOn w:val="Carpredefinitoparagrafo"/>
    <w:link w:val="Intestazione"/>
    <w:uiPriority w:val="99"/>
    <w:rsid w:val="00C45570"/>
  </w:style>
  <w:style w:type="paragraph" w:styleId="Pidipagina">
    <w:name w:val="footer"/>
    <w:basedOn w:val="Normale"/>
    <w:link w:val="PidipaginaCarattere"/>
    <w:uiPriority w:val="99"/>
    <w:unhideWhenUsed/>
    <w:rsid w:val="00C45570"/>
    <w:pPr>
      <w:tabs>
        <w:tab w:val="center" w:pos="4819"/>
        <w:tab w:val="right" w:pos="9638"/>
      </w:tabs>
    </w:pPr>
  </w:style>
  <w:style w:type="character" w:customStyle="1" w:styleId="PidipaginaCarattere">
    <w:name w:val="Piè di pagina Carattere"/>
    <w:basedOn w:val="Carpredefinitoparagrafo"/>
    <w:link w:val="Pidipagina"/>
    <w:uiPriority w:val="99"/>
    <w:rsid w:val="00C45570"/>
  </w:style>
  <w:style w:type="character" w:styleId="Numeropagina">
    <w:name w:val="page number"/>
    <w:basedOn w:val="Carpredefinitoparagrafo"/>
    <w:uiPriority w:val="99"/>
    <w:semiHidden/>
    <w:unhideWhenUsed/>
    <w:rsid w:val="00C45570"/>
  </w:style>
  <w:style w:type="table" w:styleId="Grigliatabellachiara">
    <w:name w:val="Grid Table Light"/>
    <w:basedOn w:val="Tabellanormale"/>
    <w:uiPriority w:val="40"/>
    <w:rsid w:val="00C455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gliatabella">
    <w:name w:val="Table Grid"/>
    <w:basedOn w:val="Tabellanormale"/>
    <w:uiPriority w:val="39"/>
    <w:rsid w:val="00C4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C455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C455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34EB-4011-DA46-8C71-E735A46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772</Words>
  <Characters>4403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Comunicato Stampa — GV Energy</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 GV Energy</dc:title>
  <dc:creator>Gruppo SoFiGraf — GV Energy</dc:creator>
  <dc:description>Grafica Veneta accelera nell’energia</dc:description>
  <cp:lastModifiedBy>Lol13 Lolli</cp:lastModifiedBy>
  <cp:revision>9</cp:revision>
  <cp:lastPrinted>2026-06-11T11:31:00Z</cp:lastPrinted>
  <dcterms:created xsi:type="dcterms:W3CDTF">2026-06-11T11:32:00Z</dcterms:created>
  <dcterms:modified xsi:type="dcterms:W3CDTF">2026-07-01T15:09:00Z</dcterms:modified>
</cp:coreProperties>
</file>